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宋体"/>
          <w:b/>
          <w:bCs/>
          <w:color w:val="auto"/>
          <w:sz w:val="24"/>
          <w:highlight w:val="none"/>
          <w:lang w:val="en-US" w:eastAsia="zh-CN"/>
        </w:rPr>
      </w:pPr>
      <w:bookmarkStart w:id="0" w:name="_Hlk85612087"/>
      <w:bookmarkStart w:id="7" w:name="_GoBack"/>
      <w:bookmarkEnd w:id="7"/>
      <w:r>
        <w:rPr>
          <w:rFonts w:hint="eastAsia"/>
          <w:b/>
          <w:bCs/>
          <w:color w:val="auto"/>
          <w:sz w:val="24"/>
          <w:highlight w:val="none"/>
          <w:lang w:val="en-US" w:eastAsia="zh-CN"/>
        </w:rPr>
        <w:t>附件：基本服务要求</w:t>
      </w:r>
    </w:p>
    <w:tbl>
      <w:tblPr>
        <w:tblStyle w:val="8"/>
        <w:tblpPr w:leftFromText="180" w:rightFromText="180" w:vertAnchor="text" w:horzAnchor="page" w:tblpX="1643" w:tblpY="784"/>
        <w:tblOverlap w:val="never"/>
        <w:tblW w:w="93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922"/>
        <w:gridCol w:w="1273"/>
        <w:gridCol w:w="2457"/>
        <w:gridCol w:w="440"/>
        <w:gridCol w:w="657"/>
        <w:gridCol w:w="3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服务项目明细</w:t>
            </w:r>
          </w:p>
        </w:tc>
        <w:tc>
          <w:tcPr>
            <w:tcW w:w="24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服务对象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1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2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应用系统软件运维服务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书籍管理系统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书籍管理系统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3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 对应用系统的故障响应和技术支持服务</w:t>
            </w:r>
            <w:r>
              <w:rPr>
                <w:rStyle w:val="19"/>
                <w:color w:val="auto"/>
                <w:lang w:val="en-US" w:eastAsia="zh-CN" w:bidi="ar"/>
              </w:rPr>
              <w:br w:type="textWrapping"/>
            </w:r>
            <w:r>
              <w:rPr>
                <w:rStyle w:val="19"/>
                <w:color w:val="auto"/>
                <w:lang w:val="en-US" w:eastAsia="zh-CN" w:bidi="ar"/>
              </w:rPr>
              <w:t>系统应用故障处理及业务咨询，远程及现场的响应和技术支持服务。</w:t>
            </w:r>
            <w:r>
              <w:rPr>
                <w:rStyle w:val="19"/>
                <w:color w:val="auto"/>
                <w:lang w:val="en-US" w:eastAsia="zh-CN" w:bidi="ar"/>
              </w:rPr>
              <w:br w:type="textWrapping"/>
            </w:r>
            <w:r>
              <w:rPr>
                <w:rStyle w:val="20"/>
                <w:color w:val="auto"/>
                <w:lang w:val="en-US" w:eastAsia="zh-CN" w:bidi="ar"/>
              </w:rPr>
              <w:t>1.2日常技术支持服务</w:t>
            </w:r>
            <w:r>
              <w:rPr>
                <w:rStyle w:val="19"/>
                <w:color w:val="auto"/>
                <w:lang w:val="en-US" w:eastAsia="zh-CN" w:bidi="ar"/>
              </w:rPr>
              <w:br w:type="textWrapping"/>
            </w:r>
            <w:r>
              <w:rPr>
                <w:rStyle w:val="21"/>
                <w:color w:val="auto"/>
                <w:lang w:val="en-US" w:eastAsia="zh-CN" w:bidi="ar"/>
              </w:rPr>
              <w:t></w:t>
            </w:r>
            <w:r>
              <w:rPr>
                <w:rStyle w:val="19"/>
                <w:color w:val="auto"/>
                <w:lang w:val="en-US" w:eastAsia="zh-CN" w:bidi="ar"/>
              </w:rPr>
              <w:t xml:space="preserve"> 数据维护</w:t>
            </w:r>
            <w:r>
              <w:rPr>
                <w:rStyle w:val="19"/>
                <w:color w:val="auto"/>
                <w:lang w:val="en-US" w:eastAsia="zh-CN" w:bidi="ar"/>
              </w:rPr>
              <w:br w:type="textWrapping"/>
            </w:r>
            <w:r>
              <w:rPr>
                <w:rStyle w:val="21"/>
                <w:color w:val="auto"/>
                <w:lang w:val="en-US" w:eastAsia="zh-CN" w:bidi="ar"/>
              </w:rPr>
              <w:t></w:t>
            </w:r>
            <w:r>
              <w:rPr>
                <w:rStyle w:val="19"/>
                <w:color w:val="auto"/>
                <w:lang w:val="en-US" w:eastAsia="zh-CN" w:bidi="ar"/>
              </w:rPr>
              <w:t xml:space="preserve"> 操作指导</w:t>
            </w:r>
            <w:r>
              <w:rPr>
                <w:rStyle w:val="19"/>
                <w:color w:val="auto"/>
                <w:lang w:val="en-US" w:eastAsia="zh-CN" w:bidi="ar"/>
              </w:rPr>
              <w:br w:type="textWrapping"/>
            </w:r>
            <w:r>
              <w:rPr>
                <w:rStyle w:val="21"/>
                <w:color w:val="auto"/>
                <w:lang w:val="en-US" w:eastAsia="zh-CN" w:bidi="ar"/>
              </w:rPr>
              <w:t></w:t>
            </w:r>
            <w:r>
              <w:rPr>
                <w:rStyle w:val="19"/>
                <w:color w:val="auto"/>
                <w:lang w:val="en-US" w:eastAsia="zh-CN" w:bidi="ar"/>
              </w:rPr>
              <w:t xml:space="preserve"> 系统功能及性能优化</w:t>
            </w:r>
            <w:r>
              <w:rPr>
                <w:rStyle w:val="19"/>
                <w:color w:val="auto"/>
                <w:lang w:val="en-US" w:eastAsia="zh-CN" w:bidi="ar"/>
              </w:rPr>
              <w:br w:type="textWrapping"/>
            </w:r>
            <w:r>
              <w:rPr>
                <w:rStyle w:val="21"/>
                <w:color w:val="auto"/>
                <w:lang w:val="en-US" w:eastAsia="zh-CN" w:bidi="ar"/>
              </w:rPr>
              <w:t></w:t>
            </w:r>
            <w:r>
              <w:rPr>
                <w:rStyle w:val="19"/>
                <w:color w:val="auto"/>
                <w:lang w:val="en-US" w:eastAsia="zh-CN" w:bidi="ar"/>
              </w:rPr>
              <w:t xml:space="preserve"> 使用磁盘空间整理</w:t>
            </w:r>
            <w:r>
              <w:rPr>
                <w:rStyle w:val="19"/>
                <w:color w:val="auto"/>
                <w:lang w:val="en-US" w:eastAsia="zh-CN" w:bidi="ar"/>
              </w:rPr>
              <w:br w:type="textWrapping"/>
            </w:r>
            <w:r>
              <w:rPr>
                <w:rStyle w:val="21"/>
                <w:color w:val="auto"/>
                <w:lang w:val="en-US" w:eastAsia="zh-CN" w:bidi="ar"/>
              </w:rPr>
              <w:t></w:t>
            </w:r>
            <w:r>
              <w:rPr>
                <w:rStyle w:val="19"/>
                <w:color w:val="auto"/>
                <w:lang w:val="en-US" w:eastAsia="zh-CN" w:bidi="ar"/>
              </w:rPr>
              <w:t xml:space="preserve"> 应用数据表管理</w:t>
            </w:r>
            <w:r>
              <w:rPr>
                <w:rStyle w:val="19"/>
                <w:color w:val="auto"/>
                <w:lang w:val="en-US" w:eastAsia="zh-CN" w:bidi="ar"/>
              </w:rPr>
              <w:br w:type="textWrapping"/>
            </w:r>
            <w:r>
              <w:rPr>
                <w:rStyle w:val="21"/>
                <w:color w:val="auto"/>
                <w:lang w:val="en-US" w:eastAsia="zh-CN" w:bidi="ar"/>
              </w:rPr>
              <w:t></w:t>
            </w:r>
            <w:r>
              <w:rPr>
                <w:rStyle w:val="19"/>
                <w:color w:val="auto"/>
                <w:lang w:val="en-US" w:eastAsia="zh-CN" w:bidi="ar"/>
              </w:rPr>
              <w:t xml:space="preserve"> 数据及应用备份</w:t>
            </w:r>
            <w:r>
              <w:rPr>
                <w:rStyle w:val="19"/>
                <w:color w:val="auto"/>
                <w:lang w:val="en-US" w:eastAsia="zh-CN" w:bidi="ar"/>
              </w:rPr>
              <w:br w:type="textWrapping"/>
            </w:r>
            <w:r>
              <w:rPr>
                <w:rStyle w:val="21"/>
                <w:color w:val="auto"/>
                <w:lang w:val="en-US" w:eastAsia="zh-CN" w:bidi="ar"/>
              </w:rPr>
              <w:t></w:t>
            </w:r>
            <w:r>
              <w:rPr>
                <w:rStyle w:val="19"/>
                <w:color w:val="auto"/>
                <w:lang w:val="en-US" w:eastAsia="zh-CN" w:bidi="ar"/>
              </w:rPr>
              <w:t xml:space="preserve"> 重大事件现场服务</w:t>
            </w:r>
            <w:r>
              <w:rPr>
                <w:rStyle w:val="19"/>
                <w:color w:val="auto"/>
                <w:lang w:val="en-US" w:eastAsia="zh-CN" w:bidi="ar"/>
              </w:rPr>
              <w:br w:type="textWrapping"/>
            </w:r>
            <w:r>
              <w:rPr>
                <w:rStyle w:val="20"/>
                <w:color w:val="auto"/>
                <w:lang w:val="en-US" w:eastAsia="zh-CN" w:bidi="ar"/>
              </w:rPr>
              <w:t>1.3 定期系统健康检查</w:t>
            </w:r>
            <w:r>
              <w:rPr>
                <w:rStyle w:val="19"/>
                <w:color w:val="auto"/>
                <w:lang w:val="en-US" w:eastAsia="zh-CN" w:bidi="ar"/>
              </w:rPr>
              <w:br w:type="textWrapping"/>
            </w:r>
            <w:r>
              <w:rPr>
                <w:rStyle w:val="19"/>
                <w:color w:val="auto"/>
                <w:lang w:val="en-US" w:eastAsia="zh-CN" w:bidi="ar"/>
              </w:rPr>
              <w:t>定期对应用系统运行情况检查、应用日志、第三方软件配置情况，与应用系统相关的主机磁盘空间、系统负载情况检查，数据库表空间、数据库对象检查、及其他与应用系统相关的情况检查；按月提交检查报告。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史志馆资源数据库系统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史志馆资源数据库系统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电子阅览建设系统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电子阅览建设系统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移动智能导览系统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移动智能导览系统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2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志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馆无线网络系统硬件运维服务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锐捷RG-S5750C-28GT4XS-H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供7*24小时针对网络系统运维服务，主要包括：网络系统资产整理、网络系统电话技术支持、网络系统日常监控服务、网络系统配置变更以及配置备份服务、网络系统策略配置和变更服务、网络系统故障排查服务、网络设备更换时配置，网络性能优化服务、网络系统日常巡检服务、网络专线的连通状态、日常流量等监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24口POE交换机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RG-S2910-24GT4SFP-UP-H(V3.0)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普通吸顶AP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锐捷RG-AP720-L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高密AP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锐捷RG-AP730-L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电子阅览室台式电脑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联想启天M425-N008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出口防火墙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锐捷RG-EG3000CE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基础设施支撑设备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基础设施支撑设备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2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志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馆信息管理系统硬件运维服务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办公自动化系统硬件运维服务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综合布线系统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供7*24小时针对网络系统运维服务，主要包括：网络设备、监控设备等系统电话技术支持、日常监控服务、配置变更以及配置备份服务、网络系统策略配置和变更服务、系统故障排查服务、设备更换时配置，系统日常巡检服务、线路的连通状态等监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锐捷交换机RG-S1920-24GT4SFP/2GT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锐捷路由器RSR30-X-SPU10 V1.5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出入权限控制管理子系统硬件运维服务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联想启天M425-N008电脑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客流量管理子系统硬件运维服务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客流量摄像机-海康威视DS-2CD8627FWD/C-LZ(2.8-12mm)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海康威视支架DS-1293ZJ-P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硬盘录像机-海康威视iDS-8608NX-K8/FA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监控级硬盘-希捷ST6000VX0003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平台管理软件-海康威视iSecure Center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平台服务器-海康威视DS-VE22S-B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深圳摩尔亘LED条屏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锐捷RG-S1920-16T2GT2SFP交换机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联想启天M425-N008电脑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视频监控管理子系统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联想显示器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半球型网络摄像机-海康威视DS-2CD2725XY-HK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球机摄像头-海康威视 iDS-2DE7223MX-A(B)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NVR-海康威视iDS-9632NX-I8/S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数据监控级硬盘-希捷ST6000VX0003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锐捷交换机RG-S1920-16T2GT2SFP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史志资源数据库系统硬件运维服务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RFID移动盘点车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深科物联SK-Y02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提供7*24小时针对设备、系统，运维服务，主要包括：设备例行日常巡检服务、检测、调整等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RFID手持式阅读器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深科物联SK-328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RFID标签阅读器(吸顶式)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深科物联SK109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RFID通道门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深科物联EG-B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锐捷RG-S1920-16T2GT2SFP</w:t>
            </w:r>
          </w:p>
        </w:tc>
        <w:tc>
          <w:tcPr>
            <w:tcW w:w="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2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史志资源数字化采集及档案加工系统硬件运维服务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数字档案采集子系统硬件运维服务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高速扫描仪（高端）-中晶S9200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提供7*24小时针对设备、系统，运维服务，主要包括：设备例行日常巡检服务、检测、调整等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高速扫描仪-中晶S8200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平台扫描仪-中晶XT5830 HS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3D扫描仪-EinScan-Pro+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数字档案加工子系统硬件运维服务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数字档案加工子系统硬件运维服务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其它系统硬件运维服务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安全防护系统硬件运维服务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主机防病毒软件-华三 SPNT-Win50-3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供7*24针对所有安全设备日常巡检及维护工作，主要包括：安全设备日常巡检维护服务、安全设备策略配置、变更、检查、更新、备份等服务、提高网络安全系统保密性，防止非授权个人及单位部门访问涉密信息或敏感信息、提高网络安全系统可审查性，如实记录相关事件的安全行为、防火墙等安全设备的维护工作、安全设备日常巡检、安全策略维护工作、安全事件监控，事件跟踪、安全系统规划、安全整改方案和建议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防病毒软件-华三 ServerProtect-AMSN-3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病毒防护服务器-华为RH2288V3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入侵防御-华三 NS-T1030+LIS-2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下一代防火墙-华三 NS-SecPath F1050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安管一体机-华三 NS-SecCenter X6010+M1+LIS6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核心交换机-华三 LS-5560S-28P-EI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虚拟机防病毒软件-华三 ServerProtect-Linux16-3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展馆讲解系统硬件运维服务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导览笔-恒达文博HD-ZOAG6-03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提供7*24小时针对设备、系统，运维服务，主要包括：设备例行日常巡检服务、检测、调整等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有源RFID卡-恒达文博HDK-DOG6-CHS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NFC标签-恒达文博HDJ-DOG6-CHS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充电储存箱-恒达文博HD-J2CX-02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K5型发射机-恒达文博HD-WT-T6-K5-CHS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易耳挂型-恒达文博HD-WT-NR5-006Y-CHS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发射机专用麦克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2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人证识别系统硬件运维服务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一体化翼闸</w:t>
            </w:r>
            <w:r>
              <w:rPr>
                <w:rStyle w:val="22"/>
                <w:rFonts w:eastAsia="宋体"/>
                <w:color w:val="auto"/>
                <w:lang w:val="en-US" w:eastAsia="zh-CN" w:bidi="ar"/>
              </w:rPr>
              <w:t>HPT-YZ321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提供7*24小时针对设备、系统，运维服务，主要包括：设备例行日常巡检服务、检测、调整等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一体化翼闸</w:t>
            </w:r>
            <w:r>
              <w:rPr>
                <w:rStyle w:val="22"/>
                <w:rFonts w:eastAsia="宋体"/>
                <w:color w:val="auto"/>
                <w:lang w:val="en-US" w:eastAsia="zh-CN" w:bidi="ar"/>
              </w:rPr>
              <w:t>HPT-YZ322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动态人脸机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身份证阅读器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/>
          <w:color w:val="auto"/>
          <w:sz w:val="24"/>
          <w:highlight w:val="none"/>
        </w:rPr>
      </w:pPr>
    </w:p>
    <w:p>
      <w:pPr>
        <w:pStyle w:val="23"/>
        <w:ind w:firstLine="482"/>
        <w:rPr>
          <w:rFonts w:hint="eastAsia"/>
          <w:b/>
          <w:bCs/>
          <w:color w:val="auto"/>
          <w:highlight w:val="none"/>
        </w:rPr>
      </w:pPr>
      <w:bookmarkStart w:id="1" w:name="_Toc493251468"/>
      <w:bookmarkStart w:id="2" w:name="_Toc493250632"/>
      <w:r>
        <w:rPr>
          <w:rFonts w:hint="eastAsia"/>
          <w:b/>
          <w:bCs/>
          <w:color w:val="auto"/>
          <w:highlight w:val="none"/>
        </w:rPr>
        <w:t>2、技术支持方式</w:t>
      </w:r>
      <w:bookmarkEnd w:id="1"/>
      <w:bookmarkEnd w:id="2"/>
    </w:p>
    <w:p>
      <w:pPr>
        <w:pStyle w:val="23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  <w:lang w:val="en-US"/>
        </w:rPr>
        <w:t>（1）</w:t>
      </w:r>
      <w:r>
        <w:rPr>
          <w:rFonts w:hint="eastAsia" w:ascii="宋体" w:hAnsi="宋体"/>
          <w:color w:val="auto"/>
          <w:highlight w:val="none"/>
        </w:rPr>
        <w:t>现场技术支持</w:t>
      </w:r>
    </w:p>
    <w:p>
      <w:pPr>
        <w:pStyle w:val="23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提供每周7天，每天24小时全天候的不间断现场服务支持。现场技术支持包括：设备的启保全面现场检查，并建立技术档案；定期的预防性巡检（包括硬件及系统全面检查）；紧急现场故障处理；</w:t>
      </w:r>
      <w:r>
        <w:rPr>
          <w:rFonts w:hint="eastAsia" w:ascii="宋体" w:hAnsi="宋体"/>
          <w:color w:val="auto"/>
          <w:highlight w:val="none"/>
          <w:lang w:eastAsia="zh-CN"/>
        </w:rPr>
        <w:t>提供</w:t>
      </w:r>
      <w:r>
        <w:rPr>
          <w:rFonts w:hint="eastAsia" w:ascii="宋体" w:hAnsi="宋体"/>
          <w:color w:val="auto"/>
          <w:highlight w:val="none"/>
        </w:rPr>
        <w:t>更换</w:t>
      </w:r>
      <w:r>
        <w:rPr>
          <w:rFonts w:hint="eastAsia" w:ascii="宋体" w:hAnsi="宋体"/>
          <w:color w:val="auto"/>
          <w:highlight w:val="none"/>
          <w:lang w:eastAsia="zh-CN"/>
        </w:rPr>
        <w:t>、调试损件服务等。</w:t>
      </w:r>
    </w:p>
    <w:p>
      <w:pPr>
        <w:pStyle w:val="23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  <w:lang w:val="en-US"/>
        </w:rPr>
        <w:t>（2）</w:t>
      </w:r>
      <w:r>
        <w:rPr>
          <w:rFonts w:hint="eastAsia" w:ascii="宋体" w:hAnsi="宋体"/>
          <w:color w:val="auto"/>
          <w:highlight w:val="none"/>
        </w:rPr>
        <w:t>24小时服务热线支持</w:t>
      </w:r>
    </w:p>
    <w:p>
      <w:pPr>
        <w:pStyle w:val="23"/>
        <w:rPr>
          <w:rFonts w:hint="eastAsia" w:ascii="宋体" w:hAnsi="宋体" w:eastAsia="宋体"/>
          <w:color w:val="auto"/>
          <w:highlight w:val="none"/>
          <w:lang w:eastAsia="zh-CN"/>
        </w:rPr>
      </w:pPr>
      <w:r>
        <w:rPr>
          <w:rFonts w:hint="eastAsia" w:ascii="宋体" w:hAnsi="宋体"/>
          <w:color w:val="auto"/>
          <w:highlight w:val="none"/>
        </w:rPr>
        <w:t>提供全年（包括节假日）每天24小时热线电话服务</w:t>
      </w:r>
      <w:bookmarkStart w:id="3" w:name="_Toc493250633"/>
      <w:bookmarkStart w:id="4" w:name="_Toc493251469"/>
      <w:r>
        <w:rPr>
          <w:rFonts w:hint="eastAsia" w:ascii="宋体" w:hAnsi="宋体"/>
          <w:color w:val="auto"/>
          <w:highlight w:val="none"/>
          <w:lang w:eastAsia="zh-CN"/>
        </w:rPr>
        <w:t>。</w:t>
      </w:r>
    </w:p>
    <w:p>
      <w:pPr>
        <w:pStyle w:val="23"/>
        <w:ind w:firstLine="482"/>
        <w:rPr>
          <w:rFonts w:hint="eastAsia" w:ascii="宋体" w:hAnsi="宋体"/>
          <w:b/>
          <w:bCs/>
          <w:color w:val="auto"/>
          <w:highlight w:val="none"/>
        </w:rPr>
      </w:pPr>
      <w:r>
        <w:rPr>
          <w:rFonts w:hint="eastAsia" w:ascii="宋体" w:hAnsi="宋体"/>
          <w:b/>
          <w:bCs/>
          <w:color w:val="auto"/>
          <w:highlight w:val="none"/>
        </w:rPr>
        <w:t>3、定期巡检方案</w:t>
      </w:r>
      <w:bookmarkEnd w:id="3"/>
      <w:bookmarkEnd w:id="4"/>
    </w:p>
    <w:p>
      <w:pPr>
        <w:pStyle w:val="23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  <w:lang w:val="en-US"/>
        </w:rPr>
        <w:t>（1）</w:t>
      </w:r>
      <w:r>
        <w:rPr>
          <w:rFonts w:hint="eastAsia" w:ascii="宋体" w:hAnsi="宋体"/>
          <w:color w:val="auto"/>
          <w:highlight w:val="none"/>
        </w:rPr>
        <w:t>整体维护方案：</w:t>
      </w:r>
    </w:p>
    <w:p>
      <w:pPr>
        <w:pStyle w:val="23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热线技术支持及到场服务；填写设备维修记录；定期回访，解决系统隐患，解答技术疑难；</w:t>
      </w:r>
    </w:p>
    <w:p>
      <w:pPr>
        <w:pStyle w:val="23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按期提交服务维护报告，根据具体情况提交专题报告；根据的需求和具体情况，组织免费的技术培训，帮助提高自身的技术实力。</w:t>
      </w:r>
    </w:p>
    <w:p>
      <w:pPr>
        <w:pStyle w:val="23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  <w:lang w:val="en-US"/>
        </w:rPr>
        <w:t>（2）</w:t>
      </w:r>
      <w:r>
        <w:rPr>
          <w:rFonts w:hint="eastAsia" w:ascii="宋体" w:hAnsi="宋体"/>
          <w:color w:val="auto"/>
          <w:highlight w:val="none"/>
        </w:rPr>
        <w:t>定期维护服务流程：每</w:t>
      </w:r>
      <w:r>
        <w:rPr>
          <w:rFonts w:hint="eastAsia" w:ascii="宋体" w:hAnsi="宋体"/>
          <w:color w:val="auto"/>
          <w:highlight w:val="none"/>
          <w:lang w:val="en-US"/>
        </w:rPr>
        <w:t>周</w:t>
      </w:r>
      <w:r>
        <w:rPr>
          <w:rFonts w:hint="eastAsia" w:ascii="宋体" w:hAnsi="宋体"/>
          <w:color w:val="auto"/>
          <w:highlight w:val="none"/>
        </w:rPr>
        <w:t>派经验丰富的工程师到设备现场进行预防性维护，查看设备、系统是否运行良好；</w:t>
      </w:r>
    </w:p>
    <w:p>
      <w:pPr>
        <w:pStyle w:val="23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电话预约：向技术人员了解运行情况；工程师到现场维护；填写维护技术报告。</w:t>
      </w:r>
    </w:p>
    <w:p>
      <w:pPr>
        <w:pStyle w:val="23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（3）巡检记录：每次例行检查之后，就运行系统情况填写《系统常规检查表》。</w:t>
      </w:r>
    </w:p>
    <w:p>
      <w:pPr>
        <w:pStyle w:val="23"/>
        <w:ind w:firstLine="482"/>
        <w:rPr>
          <w:rFonts w:hint="eastAsia"/>
          <w:b/>
          <w:bCs/>
          <w:color w:val="auto"/>
          <w:highlight w:val="none"/>
        </w:rPr>
      </w:pPr>
      <w:bookmarkStart w:id="5" w:name="_Toc493251470"/>
      <w:bookmarkStart w:id="6" w:name="_Toc493250634"/>
      <w:r>
        <w:rPr>
          <w:rFonts w:hint="eastAsia"/>
          <w:b/>
          <w:bCs/>
          <w:color w:val="auto"/>
          <w:highlight w:val="none"/>
        </w:rPr>
        <w:t>4、故障响应时间</w:t>
      </w:r>
      <w:bookmarkEnd w:id="5"/>
      <w:bookmarkEnd w:id="6"/>
    </w:p>
    <w:p>
      <w:pPr>
        <w:pStyle w:val="23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  <w:lang w:val="en-US"/>
        </w:rPr>
        <w:t>（1）</w:t>
      </w:r>
      <w:r>
        <w:rPr>
          <w:rFonts w:hint="eastAsia" w:ascii="宋体" w:hAnsi="宋体"/>
          <w:color w:val="auto"/>
          <w:highlight w:val="none"/>
        </w:rPr>
        <w:t>服务响应时间：关键问题：业务正常运作的故障；电话响应时间：0～15分钟；到场时间：2小时内到达现场。</w:t>
      </w:r>
    </w:p>
    <w:p>
      <w:pPr>
        <w:pStyle w:val="23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  <w:lang w:val="en-US"/>
        </w:rPr>
        <w:t>（2）</w:t>
      </w:r>
      <w:r>
        <w:rPr>
          <w:rFonts w:hint="eastAsia" w:ascii="宋体" w:hAnsi="宋体"/>
          <w:color w:val="auto"/>
          <w:highlight w:val="none"/>
        </w:rPr>
        <w:t>故障修复记录：紧急故障修复之后，就系统运行情况、导致故障发生的原因及维修过程填写《设备维护报告》。</w:t>
      </w:r>
    </w:p>
    <w:p>
      <w:pPr>
        <w:pStyle w:val="23"/>
        <w:ind w:firstLine="482"/>
        <w:rPr>
          <w:rFonts w:hint="eastAsia" w:ascii="宋体" w:hAnsi="宋体"/>
          <w:b/>
          <w:bCs/>
          <w:color w:val="auto"/>
          <w:highlight w:val="none"/>
        </w:rPr>
      </w:pPr>
      <w:r>
        <w:rPr>
          <w:rFonts w:hint="eastAsia" w:ascii="宋体" w:hAnsi="宋体"/>
          <w:b/>
          <w:bCs/>
          <w:color w:val="auto"/>
          <w:highlight w:val="none"/>
        </w:rPr>
        <w:t>5、项目输出</w:t>
      </w:r>
    </w:p>
    <w:p>
      <w:pPr>
        <w:pStyle w:val="23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1、提交首次机房及设备巡检报告；</w:t>
      </w:r>
    </w:p>
    <w:p>
      <w:pPr>
        <w:pStyle w:val="23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2、定期提交运维月报，年报，故障分析报告等各类运维服务报告。</w:t>
      </w:r>
    </w:p>
    <w:p>
      <w:pPr>
        <w:pStyle w:val="23"/>
        <w:ind w:firstLine="482"/>
        <w:rPr>
          <w:rFonts w:hint="eastAsia" w:ascii="宋体" w:hAnsi="宋体" w:eastAsia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highlight w:val="none"/>
          <w:lang w:val="en-US" w:eastAsia="zh-CN"/>
        </w:rPr>
        <w:t>6</w:t>
      </w:r>
      <w:r>
        <w:rPr>
          <w:rFonts w:hint="eastAsia" w:ascii="宋体" w:hAnsi="宋体"/>
          <w:b/>
          <w:bCs/>
          <w:color w:val="auto"/>
          <w:highlight w:val="none"/>
        </w:rPr>
        <w:t>、</w:t>
      </w:r>
      <w:r>
        <w:rPr>
          <w:rFonts w:hint="eastAsia" w:ascii="宋体" w:hAnsi="宋体"/>
          <w:b/>
          <w:bCs/>
          <w:color w:val="auto"/>
          <w:highlight w:val="none"/>
          <w:lang w:eastAsia="zh-CN"/>
        </w:rPr>
        <w:t>其它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highlight w:val="none"/>
        </w:rPr>
      </w:pPr>
      <w:r>
        <w:rPr>
          <w:rFonts w:ascii="宋体" w:hAnsi="宋体" w:eastAsia="宋体" w:cs="宋体"/>
          <w:color w:val="auto"/>
          <w:sz w:val="24"/>
          <w:szCs w:val="24"/>
        </w:rPr>
        <w:t>关于设备的硬件运维中，对常用的设备配件如硬盘、内存、电源模块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、风扇、网线</w:t>
      </w:r>
      <w:r>
        <w:rPr>
          <w:rFonts w:ascii="宋体" w:hAnsi="宋体" w:eastAsia="宋体" w:cs="宋体"/>
          <w:color w:val="auto"/>
          <w:sz w:val="24"/>
          <w:szCs w:val="24"/>
        </w:rPr>
        <w:t>等易损耗材，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运维方</w:t>
      </w:r>
      <w:r>
        <w:rPr>
          <w:rFonts w:ascii="宋体" w:hAnsi="宋体" w:eastAsia="宋体" w:cs="宋体"/>
          <w:color w:val="auto"/>
          <w:sz w:val="24"/>
          <w:szCs w:val="24"/>
        </w:rPr>
        <w:t>应含耗材提供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运维</w:t>
      </w:r>
      <w:r>
        <w:rPr>
          <w:rFonts w:ascii="宋体" w:hAnsi="宋体" w:eastAsia="宋体" w:cs="宋体"/>
          <w:color w:val="auto"/>
          <w:sz w:val="24"/>
          <w:szCs w:val="24"/>
        </w:rPr>
        <w:t>服务，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对无法维修的核心部件，由海南史志馆承担维修费用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或重新采购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bookmarkEnd w:id="0"/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yNzkxNTEzMDYwNDcxMDIzZDk1M2JiMzNmMjJhZGIifQ=="/>
  </w:docVars>
  <w:rsids>
    <w:rsidRoot w:val="00172A27"/>
    <w:rsid w:val="00021EBE"/>
    <w:rsid w:val="000671D6"/>
    <w:rsid w:val="000846EE"/>
    <w:rsid w:val="0015196E"/>
    <w:rsid w:val="001F1CFC"/>
    <w:rsid w:val="00202DFB"/>
    <w:rsid w:val="0020758F"/>
    <w:rsid w:val="00223E83"/>
    <w:rsid w:val="0024230C"/>
    <w:rsid w:val="00297D13"/>
    <w:rsid w:val="002A2DAB"/>
    <w:rsid w:val="002D4A4E"/>
    <w:rsid w:val="00315110"/>
    <w:rsid w:val="003214A7"/>
    <w:rsid w:val="00321CFC"/>
    <w:rsid w:val="00344AD0"/>
    <w:rsid w:val="00352FE1"/>
    <w:rsid w:val="003A3FD4"/>
    <w:rsid w:val="00510BA3"/>
    <w:rsid w:val="00527B20"/>
    <w:rsid w:val="00545883"/>
    <w:rsid w:val="00561FE9"/>
    <w:rsid w:val="005A13A0"/>
    <w:rsid w:val="005D1E81"/>
    <w:rsid w:val="005D43E7"/>
    <w:rsid w:val="005D7584"/>
    <w:rsid w:val="00605F09"/>
    <w:rsid w:val="006A41B7"/>
    <w:rsid w:val="007021EC"/>
    <w:rsid w:val="00786292"/>
    <w:rsid w:val="007C75C1"/>
    <w:rsid w:val="007D0B00"/>
    <w:rsid w:val="0085412F"/>
    <w:rsid w:val="00917333"/>
    <w:rsid w:val="00967055"/>
    <w:rsid w:val="00996FF9"/>
    <w:rsid w:val="009F20C6"/>
    <w:rsid w:val="00A20CA1"/>
    <w:rsid w:val="00A34F8C"/>
    <w:rsid w:val="00AD0F50"/>
    <w:rsid w:val="00B52FF6"/>
    <w:rsid w:val="00B65A4A"/>
    <w:rsid w:val="00B83AD8"/>
    <w:rsid w:val="00BA080A"/>
    <w:rsid w:val="00C0601F"/>
    <w:rsid w:val="00C51C18"/>
    <w:rsid w:val="00C752AF"/>
    <w:rsid w:val="00C82DD3"/>
    <w:rsid w:val="00C83216"/>
    <w:rsid w:val="00CA5C67"/>
    <w:rsid w:val="00D06769"/>
    <w:rsid w:val="00D159AA"/>
    <w:rsid w:val="00D5485A"/>
    <w:rsid w:val="00DA37D3"/>
    <w:rsid w:val="00DF623F"/>
    <w:rsid w:val="00E6755C"/>
    <w:rsid w:val="00E80711"/>
    <w:rsid w:val="00F2203B"/>
    <w:rsid w:val="00F80748"/>
    <w:rsid w:val="00FE4443"/>
    <w:rsid w:val="00FE7964"/>
    <w:rsid w:val="012670EA"/>
    <w:rsid w:val="03E7380B"/>
    <w:rsid w:val="04185410"/>
    <w:rsid w:val="04B37759"/>
    <w:rsid w:val="08D51B22"/>
    <w:rsid w:val="0B381EF4"/>
    <w:rsid w:val="0C2F1549"/>
    <w:rsid w:val="0C9413AC"/>
    <w:rsid w:val="0DE34399"/>
    <w:rsid w:val="0EAA3109"/>
    <w:rsid w:val="11C24C0D"/>
    <w:rsid w:val="12207CD8"/>
    <w:rsid w:val="13367661"/>
    <w:rsid w:val="19102DE6"/>
    <w:rsid w:val="19200A3F"/>
    <w:rsid w:val="1AA77B3D"/>
    <w:rsid w:val="1B5952D6"/>
    <w:rsid w:val="1BC872C4"/>
    <w:rsid w:val="1D8773D9"/>
    <w:rsid w:val="1F02489B"/>
    <w:rsid w:val="1F792DAF"/>
    <w:rsid w:val="204C5C91"/>
    <w:rsid w:val="213C4D3E"/>
    <w:rsid w:val="24AB4E70"/>
    <w:rsid w:val="25B74631"/>
    <w:rsid w:val="264D1050"/>
    <w:rsid w:val="26A526DC"/>
    <w:rsid w:val="2B2F6A18"/>
    <w:rsid w:val="2B4C75CA"/>
    <w:rsid w:val="2F3334EA"/>
    <w:rsid w:val="32BB5035"/>
    <w:rsid w:val="366C5FE9"/>
    <w:rsid w:val="3A6B10EF"/>
    <w:rsid w:val="3D1365B8"/>
    <w:rsid w:val="3FDA11F0"/>
    <w:rsid w:val="40B57579"/>
    <w:rsid w:val="41594397"/>
    <w:rsid w:val="43413334"/>
    <w:rsid w:val="43CA157C"/>
    <w:rsid w:val="44332C7D"/>
    <w:rsid w:val="453273D9"/>
    <w:rsid w:val="471746ED"/>
    <w:rsid w:val="478503A8"/>
    <w:rsid w:val="4A314103"/>
    <w:rsid w:val="4A592677"/>
    <w:rsid w:val="4BA73E25"/>
    <w:rsid w:val="4CE57B8C"/>
    <w:rsid w:val="4D1A0AF8"/>
    <w:rsid w:val="4D8C33FE"/>
    <w:rsid w:val="5030528C"/>
    <w:rsid w:val="50371D47"/>
    <w:rsid w:val="50630D8E"/>
    <w:rsid w:val="50F32112"/>
    <w:rsid w:val="510350CD"/>
    <w:rsid w:val="529D3198"/>
    <w:rsid w:val="52F65EE9"/>
    <w:rsid w:val="55AA4D69"/>
    <w:rsid w:val="56372AA1"/>
    <w:rsid w:val="57F62BC8"/>
    <w:rsid w:val="5E521BBD"/>
    <w:rsid w:val="5E7D126D"/>
    <w:rsid w:val="5EB97DCB"/>
    <w:rsid w:val="5F881C77"/>
    <w:rsid w:val="67E33523"/>
    <w:rsid w:val="684C1D7A"/>
    <w:rsid w:val="686A3A3E"/>
    <w:rsid w:val="6B410BA1"/>
    <w:rsid w:val="6BE60494"/>
    <w:rsid w:val="6BF6440D"/>
    <w:rsid w:val="6FC00FB9"/>
    <w:rsid w:val="74FF4332"/>
    <w:rsid w:val="760D5A92"/>
    <w:rsid w:val="77DF5665"/>
    <w:rsid w:val="7F9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firstLine="420" w:firstLineChars="200"/>
    </w:pPr>
    <w:rPr>
      <w:szCs w:val="24"/>
    </w:rPr>
  </w:style>
  <w:style w:type="paragraph" w:styleId="3">
    <w:name w:val="Body Text Indent"/>
    <w:basedOn w:val="1"/>
    <w:qFormat/>
    <w:uiPriority w:val="0"/>
    <w:pPr>
      <w:spacing w:after="120" w:line="360" w:lineRule="auto"/>
      <w:ind w:left="420" w:leftChars="200" w:firstLine="425"/>
    </w:pPr>
    <w:rPr>
      <w:rFonts w:ascii="宋体" w:hAnsi="宋体"/>
      <w:szCs w:val="20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7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文本 (2)1"/>
    <w:basedOn w:val="1"/>
    <w:link w:val="13"/>
    <w:qFormat/>
    <w:uiPriority w:val="99"/>
    <w:pPr>
      <w:shd w:val="clear" w:color="auto" w:fill="FFFFFF"/>
      <w:spacing w:before="180" w:after="180" w:line="240" w:lineRule="atLeast"/>
      <w:jc w:val="distribute"/>
    </w:pPr>
    <w:rPr>
      <w:rFonts w:ascii="MingLiU" w:eastAsia="MingLiU" w:cs="MingLiU"/>
      <w:sz w:val="13"/>
      <w:szCs w:val="13"/>
    </w:rPr>
  </w:style>
  <w:style w:type="character" w:customStyle="1" w:styleId="12">
    <w:name w:val="正文文本 (2)"/>
    <w:basedOn w:val="13"/>
    <w:qFormat/>
    <w:uiPriority w:val="99"/>
    <w:rPr>
      <w:rFonts w:ascii="MingLiU" w:eastAsia="MingLiU" w:cs="MingLiU"/>
      <w:sz w:val="13"/>
      <w:szCs w:val="13"/>
      <w:shd w:val="clear" w:color="auto" w:fill="FFFFFF"/>
    </w:rPr>
  </w:style>
  <w:style w:type="character" w:customStyle="1" w:styleId="13">
    <w:name w:val="正文文本 (2)_"/>
    <w:basedOn w:val="10"/>
    <w:link w:val="11"/>
    <w:qFormat/>
    <w:uiPriority w:val="99"/>
    <w:rPr>
      <w:rFonts w:ascii="MingLiU" w:eastAsia="MingLiU" w:cs="MingLiU"/>
      <w:sz w:val="13"/>
      <w:szCs w:val="13"/>
    </w:rPr>
  </w:style>
  <w:style w:type="character" w:customStyle="1" w:styleId="14">
    <w:name w:val="页眉 字符"/>
    <w:basedOn w:val="10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字符"/>
    <w:basedOn w:val="10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表格文字"/>
    <w:basedOn w:val="1"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  <w:szCs w:val="20"/>
    </w:rPr>
  </w:style>
  <w:style w:type="character" w:customStyle="1" w:styleId="17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font4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0">
    <w:name w:val="font11"/>
    <w:basedOn w:val="10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1">
    <w:name w:val="font81"/>
    <w:basedOn w:val="10"/>
    <w:qFormat/>
    <w:uiPriority w:val="0"/>
    <w:rPr>
      <w:rFonts w:ascii="Wingdings 2" w:hAnsi="Wingdings 2" w:eastAsia="Wingdings 2" w:cs="Wingdings 2"/>
      <w:color w:val="000000"/>
      <w:sz w:val="21"/>
      <w:szCs w:val="21"/>
      <w:u w:val="none"/>
    </w:rPr>
  </w:style>
  <w:style w:type="character" w:customStyle="1" w:styleId="22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23">
    <w:name w:val="my正文"/>
    <w:basedOn w:val="1"/>
    <w:qFormat/>
    <w:uiPriority w:val="0"/>
    <w:pPr>
      <w:spacing w:line="360" w:lineRule="auto"/>
      <w:ind w:firstLine="480" w:firstLineChars="200"/>
    </w:pPr>
    <w:rPr>
      <w:kern w:val="0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2940</Words>
  <Characters>3617</Characters>
  <Lines>15</Lines>
  <Paragraphs>4</Paragraphs>
  <TotalTime>7</TotalTime>
  <ScaleCrop>false</ScaleCrop>
  <LinksUpToDate>false</LinksUpToDate>
  <CharactersWithSpaces>3641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2021-10-20T00:46:00Z</dcterms:created>
  <dc:creator>宏图科技</dc:creator>
  <cp:lastModifiedBy>咩咩</cp:lastModifiedBy>
  <cp:lastPrinted>2021-11-22T02:40:00Z</cp:lastPrinted>
  <dcterms:modified xsi:type="dcterms:W3CDTF">2022-10-08T03:05:36Z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35E4B644EB2F4445B4F4A0A0EAC218C9</vt:lpwstr>
  </property>
</Properties>
</file>