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仿宋" w:hAnsi="仿宋" w:eastAsia="仿宋" w:cs="仿宋"/>
          <w:b/>
          <w:bCs/>
          <w:sz w:val="32"/>
          <w:szCs w:val="32"/>
        </w:rPr>
      </w:pPr>
      <w:bookmarkStart w:id="0" w:name="_GoBack"/>
      <w:bookmarkEnd w:id="0"/>
      <w:r>
        <w:rPr>
          <w:rFonts w:hint="eastAsia" w:ascii="仿宋" w:hAnsi="仿宋" w:eastAsia="仿宋" w:cs="仿宋"/>
          <w:b/>
          <w:bCs/>
          <w:color w:val="000000"/>
        </w:rPr>
        <w:t>附件2</w:t>
      </w:r>
    </w:p>
    <w:tbl>
      <w:tblPr>
        <w:tblStyle w:val="12"/>
        <w:tblpPr w:leftFromText="180" w:rightFromText="180" w:vertAnchor="text" w:horzAnchor="page" w:tblpX="1320" w:tblpY="735"/>
        <w:tblOverlap w:val="never"/>
        <w:tblW w:w="9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9"/>
        <w:gridCol w:w="2078"/>
        <w:gridCol w:w="1192"/>
        <w:gridCol w:w="5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59" w:type="dxa"/>
            <w:vAlign w:val="center"/>
          </w:tcPr>
          <w:p>
            <w:pPr>
              <w:spacing w:line="480" w:lineRule="auto"/>
              <w:rPr>
                <w:rFonts w:ascii="宋体" w:hAnsi="宋体"/>
                <w:sz w:val="28"/>
                <w:szCs w:val="28"/>
              </w:rPr>
            </w:pPr>
            <w:r>
              <w:rPr>
                <w:rFonts w:hint="eastAsia" w:ascii="宋体" w:hAnsi="宋体"/>
                <w:sz w:val="28"/>
                <w:szCs w:val="28"/>
              </w:rPr>
              <w:t>序号</w:t>
            </w:r>
          </w:p>
        </w:tc>
        <w:tc>
          <w:tcPr>
            <w:tcW w:w="2078" w:type="dxa"/>
            <w:vAlign w:val="center"/>
          </w:tcPr>
          <w:p>
            <w:pPr>
              <w:spacing w:line="480" w:lineRule="auto"/>
              <w:jc w:val="center"/>
              <w:rPr>
                <w:rFonts w:ascii="宋体" w:hAnsi="宋体"/>
                <w:sz w:val="28"/>
                <w:szCs w:val="28"/>
              </w:rPr>
            </w:pPr>
            <w:r>
              <w:rPr>
                <w:rFonts w:hint="eastAsia" w:ascii="宋体" w:hAnsi="宋体"/>
                <w:sz w:val="28"/>
                <w:szCs w:val="28"/>
              </w:rPr>
              <w:t>评审因素</w:t>
            </w:r>
          </w:p>
        </w:tc>
        <w:tc>
          <w:tcPr>
            <w:tcW w:w="1192" w:type="dxa"/>
            <w:vAlign w:val="center"/>
          </w:tcPr>
          <w:p>
            <w:pPr>
              <w:spacing w:line="480" w:lineRule="auto"/>
              <w:ind w:firstLine="280" w:firstLineChars="100"/>
              <w:rPr>
                <w:rFonts w:ascii="宋体" w:hAnsi="宋体"/>
                <w:sz w:val="28"/>
                <w:szCs w:val="28"/>
              </w:rPr>
            </w:pPr>
            <w:r>
              <w:rPr>
                <w:rFonts w:hint="eastAsia" w:ascii="宋体" w:hAnsi="宋体"/>
                <w:sz w:val="28"/>
                <w:szCs w:val="28"/>
              </w:rPr>
              <w:t>分值</w:t>
            </w:r>
          </w:p>
        </w:tc>
        <w:tc>
          <w:tcPr>
            <w:tcW w:w="5184" w:type="dxa"/>
            <w:vAlign w:val="center"/>
          </w:tcPr>
          <w:p>
            <w:pPr>
              <w:spacing w:line="480" w:lineRule="auto"/>
              <w:ind w:firstLine="1680" w:firstLineChars="600"/>
              <w:rPr>
                <w:rFonts w:ascii="宋体" w:hAnsi="宋体"/>
                <w:sz w:val="28"/>
                <w:szCs w:val="28"/>
              </w:rPr>
            </w:pPr>
            <w:r>
              <w:rPr>
                <w:rFonts w:hint="eastAsia" w:ascii="宋体" w:hAnsi="宋体"/>
                <w:sz w:val="28"/>
                <w:szCs w:val="28"/>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059" w:type="dxa"/>
            <w:vAlign w:val="center"/>
          </w:tcPr>
          <w:p>
            <w:pPr>
              <w:spacing w:line="480" w:lineRule="auto"/>
              <w:ind w:firstLine="240" w:firstLineChars="100"/>
              <w:rPr>
                <w:rFonts w:ascii="宋体" w:hAnsi="宋体"/>
              </w:rPr>
            </w:pPr>
            <w:r>
              <w:rPr>
                <w:rFonts w:hint="eastAsia" w:ascii="宋体" w:hAnsi="宋体"/>
              </w:rPr>
              <w:t>1</w:t>
            </w:r>
          </w:p>
        </w:tc>
        <w:tc>
          <w:tcPr>
            <w:tcW w:w="2078" w:type="dxa"/>
            <w:vAlign w:val="center"/>
          </w:tcPr>
          <w:p>
            <w:pPr>
              <w:spacing w:line="480" w:lineRule="auto"/>
              <w:ind w:firstLine="480" w:firstLineChars="200"/>
              <w:rPr>
                <w:rFonts w:ascii="宋体" w:hAnsi="宋体"/>
              </w:rPr>
            </w:pPr>
            <w:r>
              <w:rPr>
                <w:rFonts w:hint="eastAsia" w:ascii="宋体" w:hAnsi="宋体"/>
              </w:rPr>
              <w:t>报价得分</w:t>
            </w:r>
          </w:p>
        </w:tc>
        <w:tc>
          <w:tcPr>
            <w:tcW w:w="1192" w:type="dxa"/>
            <w:vAlign w:val="center"/>
          </w:tcPr>
          <w:p>
            <w:pPr>
              <w:spacing w:line="480" w:lineRule="auto"/>
              <w:ind w:firstLine="240" w:firstLineChars="100"/>
              <w:rPr>
                <w:rFonts w:hint="eastAsia" w:ascii="宋体" w:hAnsi="宋体" w:eastAsia="宋体"/>
                <w:lang w:eastAsia="zh-CN"/>
              </w:rPr>
            </w:pPr>
            <w:r>
              <w:rPr>
                <w:rFonts w:ascii="宋体" w:hAnsi="宋体"/>
              </w:rPr>
              <w:t xml:space="preserve"> </w:t>
            </w:r>
            <w:r>
              <w:rPr>
                <w:rFonts w:hint="eastAsia" w:ascii="宋体" w:hAnsi="宋体"/>
              </w:rPr>
              <w:t>7</w:t>
            </w:r>
            <w:r>
              <w:rPr>
                <w:rFonts w:hint="eastAsia" w:ascii="宋体" w:hAnsi="宋体"/>
                <w:lang w:val="en-US" w:eastAsia="zh-CN"/>
              </w:rPr>
              <w:t>0</w:t>
            </w:r>
          </w:p>
        </w:tc>
        <w:tc>
          <w:tcPr>
            <w:tcW w:w="5184" w:type="dxa"/>
            <w:vAlign w:val="center"/>
          </w:tcPr>
          <w:p>
            <w:pPr>
              <w:spacing w:line="480" w:lineRule="auto"/>
              <w:jc w:val="left"/>
              <w:rPr>
                <w:rFonts w:ascii="宋体" w:hAnsi="宋体"/>
              </w:rPr>
            </w:pPr>
            <w:r>
              <w:rPr>
                <w:rFonts w:hint="eastAsia" w:ascii="宋体" w:hAnsi="宋体"/>
              </w:rPr>
              <w:t>报价得分=评标基准价/投标报价*100*报价分值权重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059" w:type="dxa"/>
            <w:vAlign w:val="center"/>
          </w:tcPr>
          <w:p>
            <w:pPr>
              <w:spacing w:line="480" w:lineRule="auto"/>
              <w:ind w:firstLine="240" w:firstLineChars="100"/>
              <w:rPr>
                <w:rFonts w:ascii="宋体" w:hAnsi="宋体"/>
              </w:rPr>
            </w:pPr>
            <w:r>
              <w:rPr>
                <w:rFonts w:hint="eastAsia" w:ascii="宋体" w:hAnsi="宋体"/>
              </w:rPr>
              <w:t>2</w:t>
            </w:r>
          </w:p>
        </w:tc>
        <w:tc>
          <w:tcPr>
            <w:tcW w:w="2078" w:type="dxa"/>
            <w:vAlign w:val="center"/>
          </w:tcPr>
          <w:p>
            <w:pPr>
              <w:spacing w:line="480" w:lineRule="auto"/>
              <w:jc w:val="center"/>
              <w:rPr>
                <w:rFonts w:ascii="宋体" w:hAnsi="宋体"/>
              </w:rPr>
            </w:pPr>
            <w:r>
              <w:rPr>
                <w:rFonts w:ascii="宋体" w:hAnsi="宋体"/>
              </w:rPr>
              <w:t>资格</w:t>
            </w:r>
            <w:r>
              <w:rPr>
                <w:rFonts w:hint="eastAsia" w:ascii="宋体" w:hAnsi="宋体"/>
              </w:rPr>
              <w:t>得</w:t>
            </w:r>
            <w:r>
              <w:rPr>
                <w:rFonts w:ascii="宋体" w:hAnsi="宋体"/>
              </w:rPr>
              <w:t>分</w:t>
            </w:r>
          </w:p>
        </w:tc>
        <w:tc>
          <w:tcPr>
            <w:tcW w:w="1192" w:type="dxa"/>
            <w:vAlign w:val="center"/>
          </w:tcPr>
          <w:p>
            <w:pPr>
              <w:spacing w:line="480" w:lineRule="auto"/>
              <w:jc w:val="center"/>
              <w:rPr>
                <w:rFonts w:ascii="宋体" w:hAnsi="宋体"/>
              </w:rPr>
            </w:pPr>
            <w:r>
              <w:rPr>
                <w:rFonts w:hint="eastAsia" w:ascii="宋体" w:hAnsi="宋体"/>
              </w:rPr>
              <w:t>5</w:t>
            </w:r>
            <w:r>
              <w:rPr>
                <w:rFonts w:ascii="宋体" w:hAnsi="宋体"/>
              </w:rPr>
              <w:t xml:space="preserve">  </w:t>
            </w:r>
          </w:p>
        </w:tc>
        <w:tc>
          <w:tcPr>
            <w:tcW w:w="5184" w:type="dxa"/>
            <w:vAlign w:val="center"/>
          </w:tcPr>
          <w:p>
            <w:pPr>
              <w:spacing w:line="480" w:lineRule="auto"/>
              <w:jc w:val="left"/>
              <w:rPr>
                <w:rFonts w:ascii="宋体" w:hAnsi="宋体"/>
              </w:rPr>
            </w:pPr>
            <w:r>
              <w:rPr>
                <w:rFonts w:hint="eastAsia" w:ascii="宋体" w:hAnsi="宋体"/>
              </w:rPr>
              <w:t>注册资本最高得5分，依次减1分。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trPr>
        <w:tc>
          <w:tcPr>
            <w:tcW w:w="1059" w:type="dxa"/>
            <w:vAlign w:val="center"/>
          </w:tcPr>
          <w:p>
            <w:pPr>
              <w:spacing w:line="480" w:lineRule="auto"/>
              <w:ind w:firstLine="240" w:firstLineChars="100"/>
              <w:rPr>
                <w:rFonts w:ascii="宋体" w:hAnsi="宋体"/>
              </w:rPr>
            </w:pPr>
            <w:r>
              <w:rPr>
                <w:rFonts w:hint="eastAsia" w:ascii="宋体" w:hAnsi="宋体"/>
              </w:rPr>
              <w:t>3</w:t>
            </w:r>
          </w:p>
        </w:tc>
        <w:tc>
          <w:tcPr>
            <w:tcW w:w="2078" w:type="dxa"/>
            <w:vAlign w:val="center"/>
          </w:tcPr>
          <w:p>
            <w:pPr>
              <w:spacing w:line="480" w:lineRule="auto"/>
              <w:jc w:val="center"/>
              <w:rPr>
                <w:rFonts w:ascii="宋体" w:hAnsi="宋体"/>
              </w:rPr>
            </w:pPr>
            <w:r>
              <w:rPr>
                <w:rFonts w:ascii="宋体" w:hAnsi="宋体"/>
              </w:rPr>
              <w:t>业绩</w:t>
            </w:r>
            <w:r>
              <w:rPr>
                <w:rFonts w:hint="eastAsia" w:ascii="宋体" w:hAnsi="宋体"/>
              </w:rPr>
              <w:t>得</w:t>
            </w:r>
            <w:r>
              <w:rPr>
                <w:rFonts w:ascii="宋体" w:hAnsi="宋体"/>
              </w:rPr>
              <w:t>分</w:t>
            </w:r>
          </w:p>
        </w:tc>
        <w:tc>
          <w:tcPr>
            <w:tcW w:w="1192" w:type="dxa"/>
            <w:vAlign w:val="center"/>
          </w:tcPr>
          <w:p>
            <w:pPr>
              <w:spacing w:line="480" w:lineRule="auto"/>
              <w:jc w:val="center"/>
              <w:rPr>
                <w:rFonts w:ascii="宋体" w:hAnsi="宋体"/>
              </w:rPr>
            </w:pPr>
            <w:r>
              <w:rPr>
                <w:rFonts w:hint="eastAsia" w:ascii="宋体" w:hAnsi="宋体"/>
              </w:rPr>
              <w:t>15</w:t>
            </w:r>
          </w:p>
        </w:tc>
        <w:tc>
          <w:tcPr>
            <w:tcW w:w="5184" w:type="dxa"/>
            <w:vAlign w:val="center"/>
          </w:tcPr>
          <w:p>
            <w:pPr>
              <w:spacing w:line="480" w:lineRule="auto"/>
              <w:jc w:val="left"/>
              <w:rPr>
                <w:rFonts w:ascii="宋体" w:hAnsi="宋体"/>
              </w:rPr>
            </w:pPr>
            <w:r>
              <w:rPr>
                <w:rFonts w:hint="eastAsia" w:ascii="宋体" w:hAnsi="宋体"/>
              </w:rPr>
              <w:t>近</w:t>
            </w:r>
            <w:r>
              <w:rPr>
                <w:rFonts w:ascii="宋体" w:hAnsi="宋体"/>
              </w:rPr>
              <w:t>3</w:t>
            </w:r>
            <w:r>
              <w:rPr>
                <w:rFonts w:hint="eastAsia" w:ascii="宋体" w:hAnsi="宋体"/>
              </w:rPr>
              <w:t>年内承接过合同额（提供合同复印件并加盖公章）单笔2</w:t>
            </w:r>
            <w:r>
              <w:rPr>
                <w:rFonts w:ascii="宋体" w:hAnsi="宋体"/>
              </w:rPr>
              <w:t>0</w:t>
            </w:r>
            <w:r>
              <w:rPr>
                <w:rFonts w:hint="eastAsia" w:ascii="宋体" w:hAnsi="宋体"/>
              </w:rPr>
              <w:t>万以上每个得3分，1</w:t>
            </w:r>
            <w:r>
              <w:rPr>
                <w:rFonts w:ascii="宋体" w:hAnsi="宋体"/>
              </w:rPr>
              <w:t>5</w:t>
            </w:r>
            <w:r>
              <w:rPr>
                <w:rFonts w:hint="eastAsia" w:ascii="宋体" w:hAnsi="宋体"/>
              </w:rPr>
              <w:t>-</w:t>
            </w:r>
            <w:r>
              <w:rPr>
                <w:rFonts w:ascii="宋体" w:hAnsi="宋体"/>
              </w:rPr>
              <w:t>20</w:t>
            </w:r>
            <w:r>
              <w:rPr>
                <w:rFonts w:hint="eastAsia" w:ascii="宋体" w:hAnsi="宋体"/>
              </w:rPr>
              <w:t>万每个得2分， 15万元以下的每个得1分，最多得1</w:t>
            </w:r>
            <w:r>
              <w:rPr>
                <w:rFonts w:ascii="宋体" w:hAnsi="宋体"/>
              </w:rPr>
              <w:t>5</w:t>
            </w:r>
            <w:r>
              <w:rPr>
                <w:rFonts w:hint="eastAsia" w:ascii="宋体"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1" w:hRule="atLeast"/>
        </w:trPr>
        <w:tc>
          <w:tcPr>
            <w:tcW w:w="1059" w:type="dxa"/>
            <w:vAlign w:val="center"/>
          </w:tcPr>
          <w:p>
            <w:pPr>
              <w:spacing w:line="480" w:lineRule="auto"/>
              <w:ind w:firstLine="240" w:firstLineChars="100"/>
              <w:rPr>
                <w:rFonts w:ascii="宋体" w:hAnsi="宋体"/>
              </w:rPr>
            </w:pPr>
            <w:r>
              <w:rPr>
                <w:rFonts w:hint="eastAsia" w:ascii="宋体" w:hAnsi="宋体"/>
              </w:rPr>
              <w:t>4</w:t>
            </w:r>
          </w:p>
        </w:tc>
        <w:tc>
          <w:tcPr>
            <w:tcW w:w="2078" w:type="dxa"/>
            <w:vAlign w:val="center"/>
          </w:tcPr>
          <w:p>
            <w:pPr>
              <w:spacing w:line="480" w:lineRule="auto"/>
              <w:jc w:val="center"/>
              <w:rPr>
                <w:rFonts w:ascii="宋体" w:hAnsi="宋体"/>
              </w:rPr>
            </w:pPr>
            <w:r>
              <w:rPr>
                <w:rFonts w:hint="eastAsia" w:ascii="宋体" w:hAnsi="宋体"/>
              </w:rPr>
              <w:t>服务得分</w:t>
            </w:r>
          </w:p>
        </w:tc>
        <w:tc>
          <w:tcPr>
            <w:tcW w:w="1192" w:type="dxa"/>
            <w:vAlign w:val="center"/>
          </w:tcPr>
          <w:p>
            <w:pPr>
              <w:pStyle w:val="22"/>
              <w:numPr>
                <w:ilvl w:val="0"/>
                <w:numId w:val="1"/>
              </w:numPr>
              <w:spacing w:line="480" w:lineRule="auto"/>
              <w:ind w:firstLineChars="0"/>
              <w:jc w:val="center"/>
              <w:rPr>
                <w:rFonts w:ascii="宋体" w:hAnsi="宋体"/>
              </w:rPr>
            </w:pPr>
          </w:p>
        </w:tc>
        <w:tc>
          <w:tcPr>
            <w:tcW w:w="5184" w:type="dxa"/>
            <w:vAlign w:val="center"/>
          </w:tcPr>
          <w:p>
            <w:pPr>
              <w:spacing w:line="480" w:lineRule="auto"/>
              <w:jc w:val="left"/>
              <w:rPr>
                <w:rFonts w:ascii="宋体" w:hAnsi="宋体"/>
              </w:rPr>
            </w:pPr>
            <w:r>
              <w:rPr>
                <w:rFonts w:hint="eastAsia" w:ascii="宋体" w:hAnsi="宋体"/>
              </w:rPr>
              <w:t>①承诺到货时间最短的得</w:t>
            </w:r>
            <w:r>
              <w:rPr>
                <w:rFonts w:ascii="宋体" w:hAnsi="宋体"/>
              </w:rPr>
              <w:t>5</w:t>
            </w:r>
            <w:r>
              <w:rPr>
                <w:rFonts w:hint="eastAsia" w:ascii="宋体" w:hAnsi="宋体"/>
              </w:rPr>
              <w:t>分，依次减</w:t>
            </w:r>
            <w:r>
              <w:rPr>
                <w:rFonts w:ascii="宋体" w:hAnsi="宋体"/>
              </w:rPr>
              <w:t>1</w:t>
            </w:r>
            <w:r>
              <w:rPr>
                <w:rFonts w:hint="eastAsia" w:ascii="宋体" w:hAnsi="宋体"/>
              </w:rPr>
              <w:t>分。</w:t>
            </w:r>
          </w:p>
          <w:p>
            <w:pPr>
              <w:spacing w:line="480" w:lineRule="auto"/>
              <w:jc w:val="left"/>
              <w:rPr>
                <w:rFonts w:ascii="宋体" w:hAnsi="宋体"/>
              </w:rPr>
            </w:pPr>
            <w:r>
              <w:rPr>
                <w:rFonts w:hint="eastAsia" w:ascii="宋体" w:hAnsi="宋体"/>
              </w:rPr>
              <w:t>②承诺提供电子版详细新书目录，其中党史、方志、海南地情类专业图书书目多于千种，且提供的图书目录中图书ISBN、出版年份、出版社名称的信息准确，得</w:t>
            </w:r>
            <w:r>
              <w:rPr>
                <w:rFonts w:ascii="宋体" w:hAnsi="宋体"/>
              </w:rPr>
              <w:t>3</w:t>
            </w:r>
            <w:r>
              <w:rPr>
                <w:rFonts w:hint="eastAsia" w:ascii="宋体" w:hAnsi="宋体"/>
              </w:rPr>
              <w:t>分。</w:t>
            </w:r>
          </w:p>
          <w:p>
            <w:pPr>
              <w:spacing w:line="480" w:lineRule="auto"/>
              <w:jc w:val="left"/>
              <w:rPr>
                <w:rFonts w:ascii="宋体" w:hAnsi="宋体"/>
              </w:rPr>
            </w:pPr>
            <w:r>
              <w:rPr>
                <w:rFonts w:hint="eastAsia" w:ascii="宋体" w:hAnsi="宋体"/>
              </w:rPr>
              <w:t>③承诺必须100%在史志馆提供的书目范围内完成供货，得1分。</w:t>
            </w:r>
          </w:p>
          <w:p>
            <w:pPr>
              <w:spacing w:line="480" w:lineRule="auto"/>
              <w:jc w:val="left"/>
              <w:rPr>
                <w:rFonts w:ascii="宋体" w:hAnsi="宋体"/>
              </w:rPr>
            </w:pPr>
            <w:r>
              <w:rPr>
                <w:rFonts w:hint="eastAsia" w:ascii="宋体" w:hAnsi="宋体"/>
              </w:rPr>
              <w:t>④具有较强的本地化服务能力，非本地投标人应在海南设有分公司或办事处作为常驻服务和技术支持机构（提供分公司营业执照或办公场所租赁合同），得1分。</w:t>
            </w:r>
          </w:p>
        </w:tc>
      </w:tr>
    </w:tbl>
    <w:p>
      <w:pPr>
        <w:tabs>
          <w:tab w:val="left" w:pos="4620"/>
        </w:tabs>
        <w:spacing w:line="480" w:lineRule="auto"/>
        <w:ind w:firstLine="720" w:firstLineChars="200"/>
        <w:rPr>
          <w:rFonts w:ascii="宋体" w:hAnsi="宋体"/>
          <w:sz w:val="36"/>
          <w:szCs w:val="36"/>
        </w:rPr>
      </w:pPr>
      <w:r>
        <w:rPr>
          <w:rFonts w:hint="eastAsia" w:ascii="宋体" w:hAnsi="宋体"/>
          <w:sz w:val="36"/>
          <w:szCs w:val="36"/>
        </w:rPr>
        <w:t>海南史志馆选定图书供应商项目评分标准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14217D"/>
    <w:multiLevelType w:val="multilevel"/>
    <w:tmpl w:val="4E14217D"/>
    <w:lvl w:ilvl="0" w:tentative="0">
      <w:start w:val="10"/>
      <w:numFmt w:val="decimal"/>
      <w:lvlText w:val="%1"/>
      <w:lvlJc w:val="left"/>
      <w:pPr>
        <w:ind w:left="480" w:hanging="360"/>
      </w:pPr>
      <w:rPr>
        <w:rFonts w:hint="default"/>
      </w:rPr>
    </w:lvl>
    <w:lvl w:ilvl="1" w:tentative="0">
      <w:start w:val="1"/>
      <w:numFmt w:val="decimalEnclosedCircle"/>
      <w:lvlText w:val="%2"/>
      <w:lvlJc w:val="left"/>
      <w:pPr>
        <w:ind w:left="900" w:hanging="360"/>
      </w:pPr>
      <w:rPr>
        <w:rFonts w:hint="default"/>
      </w:rPr>
    </w:lvl>
    <w:lvl w:ilvl="2" w:tentative="0">
      <w:start w:val="1"/>
      <w:numFmt w:val="lowerRoman"/>
      <w:lvlText w:val="%3."/>
      <w:lvlJc w:val="right"/>
      <w:pPr>
        <w:ind w:left="1380" w:hanging="420"/>
      </w:pPr>
    </w:lvl>
    <w:lvl w:ilvl="3" w:tentative="0">
      <w:start w:val="1"/>
      <w:numFmt w:val="decimal"/>
      <w:lvlText w:val="%4."/>
      <w:lvlJc w:val="left"/>
      <w:pPr>
        <w:ind w:left="1800" w:hanging="420"/>
      </w:pPr>
    </w:lvl>
    <w:lvl w:ilvl="4" w:tentative="0">
      <w:start w:val="1"/>
      <w:numFmt w:val="lowerLetter"/>
      <w:lvlText w:val="%5)"/>
      <w:lvlJc w:val="left"/>
      <w:pPr>
        <w:ind w:left="2220" w:hanging="420"/>
      </w:pPr>
    </w:lvl>
    <w:lvl w:ilvl="5" w:tentative="0">
      <w:start w:val="1"/>
      <w:numFmt w:val="lowerRoman"/>
      <w:lvlText w:val="%6."/>
      <w:lvlJc w:val="right"/>
      <w:pPr>
        <w:ind w:left="2640" w:hanging="420"/>
      </w:pPr>
    </w:lvl>
    <w:lvl w:ilvl="6" w:tentative="0">
      <w:start w:val="1"/>
      <w:numFmt w:val="decimal"/>
      <w:lvlText w:val="%7."/>
      <w:lvlJc w:val="left"/>
      <w:pPr>
        <w:ind w:left="3060" w:hanging="420"/>
      </w:pPr>
    </w:lvl>
    <w:lvl w:ilvl="7" w:tentative="0">
      <w:start w:val="1"/>
      <w:numFmt w:val="lowerLetter"/>
      <w:lvlText w:val="%8)"/>
      <w:lvlJc w:val="left"/>
      <w:pPr>
        <w:ind w:left="3480" w:hanging="420"/>
      </w:pPr>
    </w:lvl>
    <w:lvl w:ilvl="8" w:tentative="0">
      <w:start w:val="1"/>
      <w:numFmt w:val="lowerRoman"/>
      <w:lvlText w:val="%9."/>
      <w:lvlJc w:val="right"/>
      <w:pPr>
        <w:ind w:left="39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F3334EA"/>
    <w:rsid w:val="00021EBE"/>
    <w:rsid w:val="000671D6"/>
    <w:rsid w:val="000846EE"/>
    <w:rsid w:val="000A7B98"/>
    <w:rsid w:val="00142911"/>
    <w:rsid w:val="0015196E"/>
    <w:rsid w:val="001F1CFC"/>
    <w:rsid w:val="00202DFB"/>
    <w:rsid w:val="0020758F"/>
    <w:rsid w:val="00223E83"/>
    <w:rsid w:val="0024230C"/>
    <w:rsid w:val="00297D13"/>
    <w:rsid w:val="002A2DAB"/>
    <w:rsid w:val="002D4A4E"/>
    <w:rsid w:val="00315110"/>
    <w:rsid w:val="003214A7"/>
    <w:rsid w:val="00321CFC"/>
    <w:rsid w:val="00344AD0"/>
    <w:rsid w:val="00352FE1"/>
    <w:rsid w:val="003A3FD4"/>
    <w:rsid w:val="0049305F"/>
    <w:rsid w:val="00510BA3"/>
    <w:rsid w:val="00527B20"/>
    <w:rsid w:val="00545883"/>
    <w:rsid w:val="00561FE9"/>
    <w:rsid w:val="00584110"/>
    <w:rsid w:val="005A13A0"/>
    <w:rsid w:val="005D1E81"/>
    <w:rsid w:val="005D43E7"/>
    <w:rsid w:val="005D7584"/>
    <w:rsid w:val="00605F09"/>
    <w:rsid w:val="006208E0"/>
    <w:rsid w:val="006A19AB"/>
    <w:rsid w:val="006A41B7"/>
    <w:rsid w:val="007021EC"/>
    <w:rsid w:val="00786292"/>
    <w:rsid w:val="007C75C1"/>
    <w:rsid w:val="007D0B00"/>
    <w:rsid w:val="0085412F"/>
    <w:rsid w:val="00917333"/>
    <w:rsid w:val="00967055"/>
    <w:rsid w:val="00996FF9"/>
    <w:rsid w:val="009F20C6"/>
    <w:rsid w:val="00A20CA1"/>
    <w:rsid w:val="00A34F8C"/>
    <w:rsid w:val="00AD0F50"/>
    <w:rsid w:val="00B52FF6"/>
    <w:rsid w:val="00B65A4A"/>
    <w:rsid w:val="00B83AD8"/>
    <w:rsid w:val="00B95567"/>
    <w:rsid w:val="00BA080A"/>
    <w:rsid w:val="00C0601F"/>
    <w:rsid w:val="00C51C18"/>
    <w:rsid w:val="00C752AF"/>
    <w:rsid w:val="00C82DD3"/>
    <w:rsid w:val="00C83216"/>
    <w:rsid w:val="00CA5C67"/>
    <w:rsid w:val="00D06769"/>
    <w:rsid w:val="00D159AA"/>
    <w:rsid w:val="00D464C4"/>
    <w:rsid w:val="00D5485A"/>
    <w:rsid w:val="00DA37D3"/>
    <w:rsid w:val="00DF623F"/>
    <w:rsid w:val="00E6755C"/>
    <w:rsid w:val="00E80711"/>
    <w:rsid w:val="00F2203B"/>
    <w:rsid w:val="00F80748"/>
    <w:rsid w:val="00FE4443"/>
    <w:rsid w:val="00FE7964"/>
    <w:rsid w:val="051225D4"/>
    <w:rsid w:val="06D8103E"/>
    <w:rsid w:val="0A0C3134"/>
    <w:rsid w:val="0B45777B"/>
    <w:rsid w:val="13B9676A"/>
    <w:rsid w:val="16524484"/>
    <w:rsid w:val="18B63A97"/>
    <w:rsid w:val="1AA77B3D"/>
    <w:rsid w:val="1FCE24F7"/>
    <w:rsid w:val="21682568"/>
    <w:rsid w:val="24AB4E70"/>
    <w:rsid w:val="28C20FA1"/>
    <w:rsid w:val="2F3334EA"/>
    <w:rsid w:val="31B94B02"/>
    <w:rsid w:val="32585020"/>
    <w:rsid w:val="37846336"/>
    <w:rsid w:val="3EF21372"/>
    <w:rsid w:val="42C70217"/>
    <w:rsid w:val="4CE57B8C"/>
    <w:rsid w:val="53343279"/>
    <w:rsid w:val="539E6A2C"/>
    <w:rsid w:val="56DA7D27"/>
    <w:rsid w:val="5BF979DA"/>
    <w:rsid w:val="63A04521"/>
    <w:rsid w:val="69117D33"/>
    <w:rsid w:val="74E94D06"/>
    <w:rsid w:val="7C596E73"/>
    <w:rsid w:val="7F09602A"/>
    <w:rsid w:val="7F2B6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5">
    <w:name w:val="heading 2"/>
    <w:basedOn w:val="1"/>
    <w:next w:val="1"/>
    <w:semiHidden/>
    <w:unhideWhenUsed/>
    <w:qFormat/>
    <w:uiPriority w:val="0"/>
    <w:pPr>
      <w:spacing w:beforeAutospacing="1" w:afterAutospacing="1"/>
      <w:jc w:val="left"/>
      <w:outlineLvl w:val="1"/>
    </w:pPr>
    <w:rPr>
      <w:rFonts w:hint="eastAsia" w:ascii="宋体" w:hAnsi="宋体"/>
      <w:b/>
      <w:bCs/>
      <w:kern w:val="0"/>
      <w:sz w:val="36"/>
      <w:szCs w:val="36"/>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line="240" w:lineRule="auto"/>
      <w:ind w:firstLine="420" w:firstLineChars="200"/>
    </w:pPr>
    <w:rPr>
      <w:szCs w:val="24"/>
    </w:rPr>
  </w:style>
  <w:style w:type="paragraph" w:styleId="3">
    <w:name w:val="Body Text Indent"/>
    <w:basedOn w:val="1"/>
    <w:qFormat/>
    <w:uiPriority w:val="0"/>
    <w:pPr>
      <w:spacing w:after="120" w:line="360" w:lineRule="auto"/>
      <w:ind w:left="420" w:leftChars="200" w:firstLine="425"/>
    </w:pPr>
    <w:rPr>
      <w:rFonts w:ascii="宋体" w:hAnsi="宋体"/>
      <w:szCs w:val="20"/>
    </w:rPr>
  </w:style>
  <w:style w:type="paragraph" w:styleId="6">
    <w:name w:val="footer"/>
    <w:basedOn w:val="1"/>
    <w:link w:val="19"/>
    <w:qFormat/>
    <w:uiPriority w:val="0"/>
    <w:pPr>
      <w:tabs>
        <w:tab w:val="center" w:pos="4153"/>
        <w:tab w:val="right" w:pos="8306"/>
      </w:tabs>
      <w:snapToGrid w:val="0"/>
      <w:jc w:val="left"/>
    </w:pPr>
    <w:rPr>
      <w:sz w:val="18"/>
      <w:szCs w:val="18"/>
    </w:rPr>
  </w:style>
  <w:style w:type="paragraph" w:styleId="7">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rPr>
  </w:style>
  <w:style w:type="paragraph" w:styleId="10">
    <w:name w:val="Title"/>
    <w:basedOn w:val="1"/>
    <w:next w:val="1"/>
    <w:link w:val="21"/>
    <w:qFormat/>
    <w:uiPriority w:val="0"/>
    <w:pPr>
      <w:spacing w:before="240" w:after="60"/>
      <w:jc w:val="center"/>
      <w:outlineLvl w:val="0"/>
    </w:pPr>
    <w:rPr>
      <w:rFonts w:asciiTheme="majorHAnsi" w:hAnsiTheme="majorHAnsi" w:eastAsiaTheme="majorEastAsia" w:cstheme="majorBidi"/>
      <w:b/>
      <w:bCs/>
      <w:sz w:val="32"/>
      <w:szCs w:val="32"/>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paragraph" w:customStyle="1" w:styleId="15">
    <w:name w:val="正文文本 (2)1"/>
    <w:basedOn w:val="1"/>
    <w:link w:val="17"/>
    <w:qFormat/>
    <w:uiPriority w:val="99"/>
    <w:pPr>
      <w:shd w:val="clear" w:color="auto" w:fill="FFFFFF"/>
      <w:spacing w:before="180" w:after="180" w:line="240" w:lineRule="atLeast"/>
      <w:jc w:val="distribute"/>
    </w:pPr>
    <w:rPr>
      <w:rFonts w:ascii="MingLiU" w:eastAsia="MingLiU" w:cs="MingLiU"/>
      <w:sz w:val="13"/>
      <w:szCs w:val="13"/>
    </w:rPr>
  </w:style>
  <w:style w:type="character" w:customStyle="1" w:styleId="16">
    <w:name w:val="正文文本 (2)"/>
    <w:basedOn w:val="17"/>
    <w:qFormat/>
    <w:uiPriority w:val="99"/>
    <w:rPr>
      <w:rFonts w:ascii="MingLiU" w:eastAsia="MingLiU" w:cs="MingLiU"/>
      <w:sz w:val="13"/>
      <w:szCs w:val="13"/>
      <w:shd w:val="clear" w:color="auto" w:fill="FFFFFF"/>
    </w:rPr>
  </w:style>
  <w:style w:type="character" w:customStyle="1" w:styleId="17">
    <w:name w:val="正文文本 (2)_"/>
    <w:basedOn w:val="13"/>
    <w:link w:val="15"/>
    <w:qFormat/>
    <w:uiPriority w:val="99"/>
    <w:rPr>
      <w:rFonts w:ascii="MingLiU" w:eastAsia="MingLiU" w:cs="MingLiU"/>
      <w:sz w:val="13"/>
      <w:szCs w:val="13"/>
    </w:rPr>
  </w:style>
  <w:style w:type="character" w:customStyle="1" w:styleId="18">
    <w:name w:val="页眉 字符"/>
    <w:basedOn w:val="13"/>
    <w:link w:val="7"/>
    <w:qFormat/>
    <w:uiPriority w:val="0"/>
    <w:rPr>
      <w:rFonts w:ascii="Calibri" w:hAnsi="Calibri" w:eastAsia="宋体" w:cs="Times New Roman"/>
      <w:kern w:val="2"/>
      <w:sz w:val="18"/>
      <w:szCs w:val="18"/>
    </w:rPr>
  </w:style>
  <w:style w:type="character" w:customStyle="1" w:styleId="19">
    <w:name w:val="页脚 字符"/>
    <w:basedOn w:val="13"/>
    <w:link w:val="6"/>
    <w:qFormat/>
    <w:uiPriority w:val="0"/>
    <w:rPr>
      <w:rFonts w:ascii="Calibri" w:hAnsi="Calibri" w:eastAsia="宋体" w:cs="Times New Roman"/>
      <w:kern w:val="2"/>
      <w:sz w:val="18"/>
      <w:szCs w:val="18"/>
    </w:rPr>
  </w:style>
  <w:style w:type="paragraph" w:customStyle="1" w:styleId="20">
    <w:name w:val="表格文字"/>
    <w:basedOn w:val="1"/>
    <w:qFormat/>
    <w:uiPriority w:val="0"/>
    <w:pPr>
      <w:spacing w:before="25" w:after="25"/>
      <w:jc w:val="left"/>
    </w:pPr>
    <w:rPr>
      <w:rFonts w:ascii="Times New Roman" w:hAnsi="Times New Roman"/>
      <w:bCs/>
      <w:spacing w:val="10"/>
      <w:kern w:val="0"/>
      <w:szCs w:val="20"/>
    </w:rPr>
  </w:style>
  <w:style w:type="character" w:customStyle="1" w:styleId="21">
    <w:name w:val="标题 字符"/>
    <w:basedOn w:val="13"/>
    <w:link w:val="10"/>
    <w:qFormat/>
    <w:uiPriority w:val="0"/>
    <w:rPr>
      <w:rFonts w:asciiTheme="majorHAnsi" w:hAnsiTheme="majorHAnsi" w:eastAsiaTheme="majorEastAsia" w:cstheme="majorBidi"/>
      <w:b/>
      <w:bCs/>
      <w:kern w:val="2"/>
      <w:sz w:val="32"/>
      <w:szCs w:val="32"/>
    </w:rPr>
  </w:style>
  <w:style w:type="paragraph" w:styleId="22">
    <w:name w:val="List Paragraph"/>
    <w:basedOn w:val="1"/>
    <w:qFormat/>
    <w:uiPriority w:val="99"/>
    <w:pPr>
      <w:ind w:firstLine="420" w:firstLineChars="200"/>
    </w:pPr>
  </w:style>
  <w:style w:type="character" w:customStyle="1" w:styleId="23">
    <w:name w:val="font151"/>
    <w:basedOn w:val="13"/>
    <w:qFormat/>
    <w:uiPriority w:val="0"/>
    <w:rPr>
      <w:rFonts w:hint="default" w:ascii="Times New Roman" w:hAnsi="Times New Roman" w:cs="Times New Roman"/>
      <w:b/>
      <w:bCs/>
      <w:color w:val="000000"/>
      <w:sz w:val="20"/>
      <w:szCs w:val="20"/>
      <w:u w:val="none"/>
    </w:rPr>
  </w:style>
  <w:style w:type="character" w:customStyle="1" w:styleId="24">
    <w:name w:val="font161"/>
    <w:basedOn w:val="13"/>
    <w:qFormat/>
    <w:uiPriority w:val="0"/>
    <w:rPr>
      <w:rFonts w:hint="eastAsia" w:ascii="华文仿宋" w:hAnsi="华文仿宋" w:eastAsia="华文仿宋" w:cs="华文仿宋"/>
      <w:color w:val="000000"/>
      <w:sz w:val="20"/>
      <w:szCs w:val="20"/>
      <w:u w:val="none"/>
      <w:vertAlign w:val="superscript"/>
    </w:rPr>
  </w:style>
  <w:style w:type="character" w:customStyle="1" w:styleId="25">
    <w:name w:val="font91"/>
    <w:basedOn w:val="13"/>
    <w:qFormat/>
    <w:uiPriority w:val="0"/>
    <w:rPr>
      <w:rFonts w:hint="eastAsia" w:ascii="华文仿宋" w:hAnsi="华文仿宋" w:eastAsia="华文仿宋" w:cs="华文仿宋"/>
      <w:color w:val="000000"/>
      <w:sz w:val="20"/>
      <w:szCs w:val="20"/>
      <w:u w:val="none"/>
    </w:rPr>
  </w:style>
  <w:style w:type="character" w:customStyle="1" w:styleId="26">
    <w:name w:val="font171"/>
    <w:basedOn w:val="13"/>
    <w:qFormat/>
    <w:uiPriority w:val="0"/>
    <w:rPr>
      <w:rFonts w:hint="eastAsia" w:ascii="华文仿宋" w:hAnsi="华文仿宋" w:eastAsia="华文仿宋" w:cs="华文仿宋"/>
      <w:color w:val="000000"/>
      <w:sz w:val="18"/>
      <w:szCs w:val="18"/>
      <w:u w:val="none"/>
      <w:vertAlign w:val="superscript"/>
    </w:rPr>
  </w:style>
  <w:style w:type="character" w:customStyle="1" w:styleId="27">
    <w:name w:val="font101"/>
    <w:basedOn w:val="13"/>
    <w:qFormat/>
    <w:uiPriority w:val="0"/>
    <w:rPr>
      <w:rFonts w:hint="eastAsia" w:ascii="华文仿宋" w:hAnsi="华文仿宋" w:eastAsia="华文仿宋" w:cs="华文仿宋"/>
      <w:color w:val="000000"/>
      <w:sz w:val="18"/>
      <w:szCs w:val="18"/>
      <w:u w:val="none"/>
    </w:rPr>
  </w:style>
  <w:style w:type="character" w:customStyle="1" w:styleId="28">
    <w:name w:val="font112"/>
    <w:basedOn w:val="13"/>
    <w:qFormat/>
    <w:uiPriority w:val="0"/>
    <w:rPr>
      <w:rFonts w:hint="eastAsia" w:ascii="华文仿宋" w:hAnsi="华文仿宋" w:eastAsia="华文仿宋" w:cs="华文仿宋"/>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1018</Words>
  <Characters>1064</Characters>
  <Lines>9</Lines>
  <Paragraphs>2</Paragraphs>
  <TotalTime>28</TotalTime>
  <ScaleCrop>false</ScaleCrop>
  <LinksUpToDate>false</LinksUpToDate>
  <CharactersWithSpaces>1203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2021-10-20T00:46:00Z</dcterms:created>
  <dc:creator>宏图科技</dc:creator>
  <cp:lastModifiedBy>咩咩</cp:lastModifiedBy>
  <cp:lastPrinted>2022-03-28T01:47:00Z</cp:lastPrinted>
  <dcterms:modified xsi:type="dcterms:W3CDTF">2022-03-28T04:17:20Z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6A265EA179A24E729561736A040818A5</vt:lpwstr>
  </property>
</Properties>
</file>